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A247F" w14:textId="77777777" w:rsidR="003969E0" w:rsidRDefault="003969E0" w:rsidP="003969E0">
      <w:pPr>
        <w:spacing w:line="360" w:lineRule="auto"/>
        <w:ind w:firstLine="709"/>
        <w:contextualSpacing/>
        <w:jc w:val="center"/>
        <w:rPr>
          <w:rFonts w:eastAsiaTheme="minorEastAsia" w:cstheme="minorBidi"/>
          <w:b/>
          <w:noProof/>
          <w:sz w:val="28"/>
        </w:rPr>
      </w:pPr>
      <w:bookmarkStart w:id="0" w:name="_GoBack"/>
      <w:bookmarkEnd w:id="0"/>
      <w:r w:rsidRPr="004020F7">
        <w:rPr>
          <w:b/>
          <w:sz w:val="28"/>
        </w:rPr>
        <w:t>Примерный перечень тем магистерских диссертаций</w:t>
      </w:r>
      <w:r w:rsidR="0014429E">
        <w:rPr>
          <w:b/>
          <w:sz w:val="28"/>
        </w:rPr>
        <w:t xml:space="preserve"> (</w:t>
      </w:r>
      <w:r w:rsidR="0014429E" w:rsidRPr="001D3B13">
        <w:rPr>
          <w:rFonts w:eastAsiaTheme="minorEastAsia" w:cstheme="minorBidi"/>
          <w:b/>
          <w:noProof/>
          <w:sz w:val="28"/>
        </w:rPr>
        <w:t>направление 38.0</w:t>
      </w:r>
      <w:r w:rsidR="0014429E">
        <w:rPr>
          <w:rFonts w:eastAsiaTheme="minorEastAsia" w:cstheme="minorBidi"/>
          <w:b/>
          <w:noProof/>
          <w:sz w:val="28"/>
        </w:rPr>
        <w:t>4</w:t>
      </w:r>
      <w:r w:rsidR="0014429E" w:rsidRPr="001D3B13">
        <w:rPr>
          <w:rFonts w:eastAsiaTheme="minorEastAsia" w:cstheme="minorBidi"/>
          <w:b/>
          <w:noProof/>
          <w:sz w:val="28"/>
        </w:rPr>
        <w:t xml:space="preserve">.01 "Экономика", </w:t>
      </w:r>
      <w:r w:rsidR="0014429E">
        <w:rPr>
          <w:rFonts w:eastAsiaTheme="minorEastAsia" w:cstheme="minorBidi"/>
          <w:b/>
          <w:noProof/>
          <w:sz w:val="28"/>
        </w:rPr>
        <w:t xml:space="preserve">магистерская прорамма </w:t>
      </w:r>
      <w:r w:rsidR="0014429E" w:rsidRPr="001D3B13">
        <w:rPr>
          <w:rFonts w:eastAsiaTheme="minorEastAsia" w:cstheme="minorBidi"/>
          <w:b/>
          <w:noProof/>
          <w:sz w:val="28"/>
        </w:rPr>
        <w:t>"</w:t>
      </w:r>
      <w:r w:rsidR="0014429E">
        <w:rPr>
          <w:rFonts w:eastAsiaTheme="minorEastAsia" w:cstheme="minorBidi"/>
          <w:b/>
          <w:noProof/>
          <w:sz w:val="28"/>
        </w:rPr>
        <w:t>Учет, анализ, аудит</w:t>
      </w:r>
      <w:r w:rsidR="0014429E" w:rsidRPr="001D3B13">
        <w:rPr>
          <w:rFonts w:eastAsiaTheme="minorEastAsia" w:cstheme="minorBidi"/>
          <w:b/>
          <w:noProof/>
          <w:sz w:val="28"/>
        </w:rPr>
        <w:t>"</w:t>
      </w:r>
      <w:r w:rsidR="0014429E">
        <w:rPr>
          <w:rFonts w:eastAsiaTheme="minorEastAsia" w:cstheme="minorBidi"/>
          <w:b/>
          <w:noProof/>
          <w:sz w:val="28"/>
        </w:rPr>
        <w:t>)</w:t>
      </w:r>
    </w:p>
    <w:p w14:paraId="6FC6EDA8" w14:textId="77777777" w:rsidR="0014429E" w:rsidRDefault="0014429E" w:rsidP="003969E0">
      <w:pPr>
        <w:spacing w:line="360" w:lineRule="auto"/>
        <w:ind w:firstLine="709"/>
        <w:contextualSpacing/>
        <w:jc w:val="center"/>
        <w:rPr>
          <w:b/>
          <w:sz w:val="28"/>
        </w:rPr>
      </w:pPr>
    </w:p>
    <w:p w14:paraId="3D9837D9" w14:textId="77777777" w:rsidR="003969E0" w:rsidRPr="00784D87" w:rsidRDefault="003969E0" w:rsidP="003969E0">
      <w:pPr>
        <w:pStyle w:val="Style16"/>
        <w:spacing w:line="360" w:lineRule="auto"/>
        <w:ind w:firstLine="709"/>
        <w:contextualSpacing/>
        <w:rPr>
          <w:sz w:val="28"/>
        </w:rPr>
      </w:pPr>
      <w:r w:rsidRPr="00784D87">
        <w:rPr>
          <w:color w:val="000000"/>
          <w:sz w:val="28"/>
          <w:shd w:val="clear" w:color="auto" w:fill="FFFFFF"/>
        </w:rPr>
        <w:t xml:space="preserve">1. </w:t>
      </w:r>
      <w:r w:rsidRPr="00264CB5">
        <w:rPr>
          <w:sz w:val="28"/>
          <w:szCs w:val="28"/>
        </w:rPr>
        <w:t>Разработка</w:t>
      </w:r>
      <w:r w:rsidRPr="00784D87">
        <w:rPr>
          <w:sz w:val="28"/>
        </w:rPr>
        <w:t xml:space="preserve"> учетной политики как основы формирования системы бухгалтерского учета в организации</w:t>
      </w:r>
    </w:p>
    <w:p w14:paraId="13A35661" w14:textId="77777777" w:rsidR="003969E0" w:rsidRPr="00784D87" w:rsidRDefault="003969E0" w:rsidP="003969E0">
      <w:pPr>
        <w:pStyle w:val="Style16"/>
        <w:spacing w:line="360" w:lineRule="auto"/>
        <w:ind w:firstLine="709"/>
        <w:contextualSpacing/>
        <w:rPr>
          <w:sz w:val="28"/>
        </w:rPr>
      </w:pPr>
      <w:r w:rsidRPr="00784D87">
        <w:rPr>
          <w:sz w:val="28"/>
        </w:rPr>
        <w:t>2. Учетная политика коммерческой организации: российская и международная практика (гармонизация российского бухгалтерского учета в соответствии с МСФО)</w:t>
      </w:r>
    </w:p>
    <w:p w14:paraId="7C3572D8" w14:textId="77777777" w:rsidR="003969E0" w:rsidRPr="00784D87" w:rsidRDefault="003969E0" w:rsidP="003969E0">
      <w:pPr>
        <w:pStyle w:val="Style16"/>
        <w:spacing w:line="360" w:lineRule="auto"/>
        <w:ind w:firstLine="709"/>
        <w:contextualSpacing/>
        <w:rPr>
          <w:sz w:val="28"/>
        </w:rPr>
      </w:pPr>
      <w:r w:rsidRPr="00784D87">
        <w:rPr>
          <w:sz w:val="28"/>
        </w:rPr>
        <w:t xml:space="preserve">3. Методика учета и анализа расходов </w:t>
      </w:r>
      <w:r>
        <w:rPr>
          <w:sz w:val="28"/>
        </w:rPr>
        <w:t xml:space="preserve">(доходов) </w:t>
      </w:r>
      <w:r w:rsidRPr="00784D87">
        <w:rPr>
          <w:sz w:val="28"/>
        </w:rPr>
        <w:t xml:space="preserve">коммерческой организации и оценка резервов их </w:t>
      </w:r>
      <w:r w:rsidRPr="00264CB5">
        <w:rPr>
          <w:sz w:val="28"/>
          <w:szCs w:val="28"/>
        </w:rPr>
        <w:t>снижения</w:t>
      </w:r>
      <w:r>
        <w:rPr>
          <w:sz w:val="28"/>
          <w:szCs w:val="28"/>
        </w:rPr>
        <w:t xml:space="preserve"> (роста)</w:t>
      </w:r>
    </w:p>
    <w:p w14:paraId="2983BDBC" w14:textId="77777777" w:rsidR="003969E0" w:rsidRPr="00784D87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4</w:t>
      </w:r>
      <w:r w:rsidR="003969E0" w:rsidRPr="00784D87">
        <w:rPr>
          <w:sz w:val="28"/>
        </w:rPr>
        <w:t xml:space="preserve">. </w:t>
      </w:r>
      <w:r w:rsidR="003969E0">
        <w:rPr>
          <w:sz w:val="28"/>
          <w:szCs w:val="28"/>
        </w:rPr>
        <w:t>Отчет о движении денежных средств: порядок подготовки, информационно-аналитическое значение</w:t>
      </w:r>
    </w:p>
    <w:p w14:paraId="3E12931D" w14:textId="77777777" w:rsidR="003969E0" w:rsidRPr="00784D87" w:rsidRDefault="008D1966" w:rsidP="003969E0">
      <w:pPr>
        <w:pStyle w:val="Style16"/>
        <w:spacing w:line="360" w:lineRule="auto"/>
        <w:ind w:firstLine="709"/>
        <w:contextualSpacing/>
        <w:rPr>
          <w:color w:val="000000"/>
          <w:sz w:val="28"/>
          <w:shd w:val="clear" w:color="auto" w:fill="FFFFFF"/>
        </w:rPr>
      </w:pPr>
      <w:r>
        <w:rPr>
          <w:sz w:val="28"/>
        </w:rPr>
        <w:t>5</w:t>
      </w:r>
      <w:r w:rsidR="003969E0" w:rsidRPr="00784D87">
        <w:rPr>
          <w:sz w:val="28"/>
        </w:rPr>
        <w:t xml:space="preserve">. </w:t>
      </w:r>
      <w:r w:rsidR="003969E0" w:rsidRPr="00784D87">
        <w:rPr>
          <w:color w:val="000000"/>
          <w:sz w:val="28"/>
          <w:shd w:val="clear" w:color="auto" w:fill="FFFFFF"/>
        </w:rPr>
        <w:t xml:space="preserve">Система </w:t>
      </w:r>
      <w:r w:rsidR="003969E0" w:rsidRPr="00264CB5">
        <w:rPr>
          <w:sz w:val="28"/>
          <w:szCs w:val="28"/>
        </w:rPr>
        <w:t>аудита</w:t>
      </w:r>
      <w:r w:rsidR="003969E0" w:rsidRPr="00784D87">
        <w:rPr>
          <w:color w:val="000000"/>
          <w:sz w:val="28"/>
          <w:shd w:val="clear" w:color="auto" w:fill="FFFFFF"/>
        </w:rPr>
        <w:t xml:space="preserve"> и налогового учета в организации и их взаимосвязь</w:t>
      </w:r>
    </w:p>
    <w:p w14:paraId="69A293C1" w14:textId="77777777" w:rsidR="003969E0" w:rsidRPr="00784D87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color w:val="000000"/>
          <w:sz w:val="28"/>
          <w:shd w:val="clear" w:color="auto" w:fill="FFFFFF"/>
        </w:rPr>
        <w:t>6</w:t>
      </w:r>
      <w:r w:rsidR="003969E0" w:rsidRPr="00784D87">
        <w:rPr>
          <w:color w:val="000000"/>
          <w:sz w:val="28"/>
          <w:shd w:val="clear" w:color="auto" w:fill="FFFFFF"/>
        </w:rPr>
        <w:t xml:space="preserve">. </w:t>
      </w:r>
      <w:r w:rsidR="003969E0">
        <w:rPr>
          <w:sz w:val="28"/>
        </w:rPr>
        <w:t>Исследование системы учета и внутреннего контроля экономического субъекта в ходе аудита</w:t>
      </w:r>
    </w:p>
    <w:p w14:paraId="1D0B3340" w14:textId="77777777" w:rsidR="003969E0" w:rsidRPr="00784D87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7</w:t>
      </w:r>
      <w:r w:rsidR="003969E0" w:rsidRPr="00784D87">
        <w:rPr>
          <w:sz w:val="28"/>
        </w:rPr>
        <w:t>. Методика внутреннего аудита соблюдения трудового законодательства и учета расчетов по оплате труда</w:t>
      </w:r>
    </w:p>
    <w:p w14:paraId="51B9D373" w14:textId="77777777" w:rsidR="003969E0" w:rsidRPr="00784D87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8</w:t>
      </w:r>
      <w:r w:rsidR="003969E0" w:rsidRPr="00784D87">
        <w:rPr>
          <w:sz w:val="28"/>
        </w:rPr>
        <w:t xml:space="preserve">. </w:t>
      </w:r>
      <w:r w:rsidR="003969E0" w:rsidRPr="00264CB5">
        <w:rPr>
          <w:sz w:val="28"/>
          <w:szCs w:val="28"/>
        </w:rPr>
        <w:t>Инструменты</w:t>
      </w:r>
      <w:r w:rsidR="003969E0" w:rsidRPr="00784D87">
        <w:rPr>
          <w:sz w:val="28"/>
        </w:rPr>
        <w:t xml:space="preserve"> внутреннего аудита с использованием информационных технологий</w:t>
      </w:r>
    </w:p>
    <w:p w14:paraId="60F1BB44" w14:textId="77777777" w:rsidR="003969E0" w:rsidRPr="00784D87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9</w:t>
      </w:r>
      <w:r w:rsidR="003969E0" w:rsidRPr="00784D87">
        <w:rPr>
          <w:sz w:val="28"/>
        </w:rPr>
        <w:t xml:space="preserve">. </w:t>
      </w:r>
      <w:r w:rsidR="003969E0" w:rsidRPr="00264CB5">
        <w:rPr>
          <w:sz w:val="28"/>
          <w:szCs w:val="28"/>
        </w:rPr>
        <w:t>Организация</w:t>
      </w:r>
      <w:r w:rsidR="003969E0" w:rsidRPr="00784D87">
        <w:rPr>
          <w:sz w:val="28"/>
        </w:rPr>
        <w:t xml:space="preserve"> аудиторских проверок финансово-кредитных учреждений</w:t>
      </w:r>
    </w:p>
    <w:p w14:paraId="34AA0D66" w14:textId="77777777" w:rsidR="003969E0" w:rsidRPr="00784D87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10</w:t>
      </w:r>
      <w:r w:rsidR="003969E0" w:rsidRPr="00784D87">
        <w:rPr>
          <w:sz w:val="28"/>
        </w:rPr>
        <w:t xml:space="preserve">. </w:t>
      </w:r>
      <w:r w:rsidR="003969E0" w:rsidRPr="00264CB5">
        <w:rPr>
          <w:sz w:val="28"/>
          <w:szCs w:val="28"/>
        </w:rPr>
        <w:t>Назначение</w:t>
      </w:r>
      <w:r w:rsidR="003969E0" w:rsidRPr="00784D87">
        <w:rPr>
          <w:sz w:val="28"/>
        </w:rPr>
        <w:t>, порядок подготовки и возможности раскрытия информации в пояснениях к бухгалтерскому балансу и отчету о финансовых результатах</w:t>
      </w:r>
    </w:p>
    <w:p w14:paraId="7AD0D8E5" w14:textId="77777777" w:rsidR="003969E0" w:rsidRPr="00784D87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11</w:t>
      </w:r>
      <w:r w:rsidR="003969E0" w:rsidRPr="00784D87">
        <w:rPr>
          <w:sz w:val="28"/>
        </w:rPr>
        <w:t xml:space="preserve">. </w:t>
      </w:r>
      <w:r w:rsidR="003969E0">
        <w:rPr>
          <w:sz w:val="28"/>
          <w:szCs w:val="28"/>
        </w:rPr>
        <w:t>Современный инструментарий калькулирования, обеспечивающий процесс интеграции управленческой информации</w:t>
      </w:r>
    </w:p>
    <w:p w14:paraId="391DB709" w14:textId="77777777" w:rsidR="003969E0" w:rsidRPr="00784D87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12</w:t>
      </w:r>
      <w:r w:rsidR="003969E0" w:rsidRPr="00784D87">
        <w:rPr>
          <w:sz w:val="28"/>
        </w:rPr>
        <w:t>. Анализ и учет лизинговых операций</w:t>
      </w:r>
    </w:p>
    <w:p w14:paraId="4403B933" w14:textId="77777777" w:rsidR="003969E0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13</w:t>
      </w:r>
      <w:r w:rsidR="003969E0" w:rsidRPr="00784D87">
        <w:rPr>
          <w:sz w:val="28"/>
        </w:rPr>
        <w:t xml:space="preserve">. Оценка </w:t>
      </w:r>
      <w:r w:rsidR="003969E0" w:rsidRPr="00264CB5">
        <w:rPr>
          <w:sz w:val="28"/>
          <w:szCs w:val="28"/>
        </w:rPr>
        <w:t>стоимости</w:t>
      </w:r>
      <w:r w:rsidR="003969E0" w:rsidRPr="00784D87">
        <w:rPr>
          <w:sz w:val="28"/>
        </w:rPr>
        <w:t xml:space="preserve"> компании: методология, теория, практика</w:t>
      </w:r>
    </w:p>
    <w:p w14:paraId="5DE4A6B4" w14:textId="77777777" w:rsidR="008D1966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14. Формирование и анализ интегрированной отчетности</w:t>
      </w:r>
    </w:p>
    <w:p w14:paraId="27DC24AE" w14:textId="77777777" w:rsidR="008D1966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 xml:space="preserve">15. Формирование и аналитические возможности бухгалтерского </w:t>
      </w:r>
      <w:r>
        <w:rPr>
          <w:sz w:val="28"/>
        </w:rPr>
        <w:lastRenderedPageBreak/>
        <w:t>баланса</w:t>
      </w:r>
    </w:p>
    <w:p w14:paraId="4377E028" w14:textId="77777777" w:rsidR="008D1966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16. Фальсификация финансовой отчетности: возможности предупреждения и обнаружения</w:t>
      </w:r>
    </w:p>
    <w:p w14:paraId="68DF3A2B" w14:textId="77777777" w:rsidR="008D1966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17. Организация и методика бухгалтерского и налогового учета экспортных операций</w:t>
      </w:r>
    </w:p>
    <w:p w14:paraId="56C76314" w14:textId="77777777" w:rsidR="008D1966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18. Организация и проведение аудита с использованием современных информационных технологий</w:t>
      </w:r>
    </w:p>
    <w:p w14:paraId="3A30DFD7" w14:textId="77777777" w:rsidR="008D1966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19. Формирование учетно-аналитической информации о доходах и расходах организации</w:t>
      </w:r>
    </w:p>
    <w:p w14:paraId="00081254" w14:textId="77777777" w:rsidR="008D1966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  <w:r>
        <w:rPr>
          <w:sz w:val="28"/>
        </w:rPr>
        <w:t>20. Вариативность оценки финансовых результатов деятельности организации по данным отчета о финансовых результатах</w:t>
      </w:r>
    </w:p>
    <w:p w14:paraId="50B3BE1D" w14:textId="77777777" w:rsidR="008D1966" w:rsidRDefault="008D1966" w:rsidP="003969E0">
      <w:pPr>
        <w:pStyle w:val="Style16"/>
        <w:spacing w:line="360" w:lineRule="auto"/>
        <w:ind w:firstLine="709"/>
        <w:contextualSpacing/>
        <w:rPr>
          <w:sz w:val="28"/>
        </w:rPr>
      </w:pPr>
    </w:p>
    <w:p w14:paraId="1A912EB6" w14:textId="77777777" w:rsidR="009F45AD" w:rsidRDefault="00447EED"/>
    <w:sectPr w:rsidR="009F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E0"/>
    <w:rsid w:val="0014429E"/>
    <w:rsid w:val="003969E0"/>
    <w:rsid w:val="00447EED"/>
    <w:rsid w:val="005725F6"/>
    <w:rsid w:val="007C41CF"/>
    <w:rsid w:val="008D1966"/>
    <w:rsid w:val="00B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7CD1"/>
  <w15:docId w15:val="{010BEED3-63BE-4474-AAE7-B4E8DA85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9E0"/>
    <w:pPr>
      <w:widowControl w:val="0"/>
      <w:autoSpaceDE w:val="0"/>
      <w:autoSpaceDN w:val="0"/>
      <w:adjustRightInd w:val="0"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3969E0"/>
    <w:pPr>
      <w:spacing w:line="484" w:lineRule="exact"/>
      <w:ind w:firstLine="706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4D1D8-FC0D-4555-AF8E-B066EA88A738}"/>
</file>

<file path=customXml/itemProps2.xml><?xml version="1.0" encoding="utf-8"?>
<ds:datastoreItem xmlns:ds="http://schemas.openxmlformats.org/officeDocument/2006/customXml" ds:itemID="{47A2DF92-1CB6-44D5-8A08-C1D53413D192}"/>
</file>

<file path=customXml/itemProps3.xml><?xml version="1.0" encoding="utf-8"?>
<ds:datastoreItem xmlns:ds="http://schemas.openxmlformats.org/officeDocument/2006/customXml" ds:itemID="{933F72BF-30DA-4FF2-B817-C9B7030CFF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Жукова</dc:creator>
  <cp:lastModifiedBy>Дмитрий Валерьевич Кузнецов</cp:lastModifiedBy>
  <cp:revision>2</cp:revision>
  <cp:lastPrinted>2019-06-18T12:09:00Z</cp:lastPrinted>
  <dcterms:created xsi:type="dcterms:W3CDTF">2020-01-23T15:11:00Z</dcterms:created>
  <dcterms:modified xsi:type="dcterms:W3CDTF">2020-01-23T15:11:00Z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