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FE023" w14:textId="77777777" w:rsidR="00DD3871" w:rsidRDefault="00DD3871" w:rsidP="00DD3871">
      <w:pPr>
        <w:rPr>
          <w:vanish/>
        </w:rPr>
      </w:pPr>
    </w:p>
    <w:p w14:paraId="38AC379D" w14:textId="77777777" w:rsidR="00B239BB" w:rsidRPr="003E457E" w:rsidRDefault="00B239BB" w:rsidP="003E457E">
      <w:pPr>
        <w:tabs>
          <w:tab w:val="left" w:pos="851"/>
          <w:tab w:val="left" w:pos="993"/>
        </w:tabs>
        <w:spacing w:line="276" w:lineRule="auto"/>
        <w:ind w:firstLine="567"/>
        <w:jc w:val="center"/>
        <w:rPr>
          <w:b/>
        </w:rPr>
      </w:pPr>
      <w:r w:rsidRPr="003E457E">
        <w:rPr>
          <w:b/>
        </w:rPr>
        <w:t>СОДЕРЖАНИЕ ПРОГРАММЫ</w:t>
      </w:r>
    </w:p>
    <w:p w14:paraId="41DE4BEA" w14:textId="77777777" w:rsidR="008B3776" w:rsidRPr="003E457E" w:rsidRDefault="008B3776" w:rsidP="003E457E">
      <w:pPr>
        <w:tabs>
          <w:tab w:val="left" w:pos="851"/>
          <w:tab w:val="left" w:pos="993"/>
        </w:tabs>
        <w:spacing w:line="276" w:lineRule="auto"/>
        <w:ind w:firstLine="567"/>
        <w:jc w:val="both"/>
        <w:rPr>
          <w:b/>
        </w:rPr>
      </w:pPr>
    </w:p>
    <w:p w14:paraId="08132D99" w14:textId="77777777" w:rsidR="008B3776" w:rsidRPr="003E457E" w:rsidRDefault="003E457E" w:rsidP="003E457E">
      <w:pPr>
        <w:pStyle w:val="1"/>
        <w:tabs>
          <w:tab w:val="left" w:pos="851"/>
          <w:tab w:val="left" w:pos="993"/>
        </w:tabs>
        <w:spacing w:line="276" w:lineRule="auto"/>
        <w:ind w:firstLine="567"/>
        <w:rPr>
          <w:sz w:val="24"/>
        </w:rPr>
      </w:pPr>
      <w:r w:rsidRPr="003E457E">
        <w:rPr>
          <w:sz w:val="24"/>
        </w:rPr>
        <w:t>ТЕМА 1: ОСНОВЫ КОНТРАКТНОЙ СИСТЕМЫ</w:t>
      </w:r>
    </w:p>
    <w:p w14:paraId="62C8F509" w14:textId="77777777" w:rsidR="008B3776" w:rsidRPr="003E457E" w:rsidRDefault="008B3776" w:rsidP="003E457E">
      <w:pPr>
        <w:tabs>
          <w:tab w:val="left" w:pos="851"/>
          <w:tab w:val="left" w:pos="993"/>
        </w:tabs>
        <w:autoSpaceDN w:val="0"/>
        <w:spacing w:line="276" w:lineRule="auto"/>
        <w:ind w:firstLine="567"/>
        <w:jc w:val="both"/>
      </w:pPr>
      <w:r w:rsidRPr="003E457E">
        <w:t>Понятия. Понятие «Контрактная система».</w:t>
      </w:r>
      <w:r w:rsidR="00467F49" w:rsidRPr="003E457E">
        <w:t xml:space="preserve"> </w:t>
      </w:r>
      <w:r w:rsidRPr="003E457E">
        <w:t xml:space="preserve">Понятие «Государственный и муниципальный контракт». Понятие «Совокупный годовой объём закупок». </w:t>
      </w:r>
      <w:r w:rsidR="00467F49" w:rsidRPr="003E457E">
        <w:t>О</w:t>
      </w:r>
      <w:r w:rsidRPr="003E457E">
        <w:t>пределение совокупного годового объема закупок</w:t>
      </w:r>
      <w:r w:rsidR="00467F49" w:rsidRPr="003E457E">
        <w:t xml:space="preserve">. </w:t>
      </w:r>
      <w:r w:rsidRPr="003E457E">
        <w:t>Принципы контрактной системы</w:t>
      </w:r>
      <w:r w:rsidR="00467F49" w:rsidRPr="003E457E">
        <w:t xml:space="preserve">. </w:t>
      </w:r>
      <w:r w:rsidRPr="003E457E">
        <w:t>Цели закупок. Особенности закупок бюджетными организациями</w:t>
      </w:r>
      <w:r w:rsidR="00467F49" w:rsidRPr="003E457E">
        <w:t xml:space="preserve">. </w:t>
      </w:r>
      <w:r w:rsidRPr="003E457E">
        <w:t>Разработка положения о закупках по ФЗ-223. Основные разделы.</w:t>
      </w:r>
    </w:p>
    <w:p w14:paraId="42FD0FCA" w14:textId="77777777" w:rsidR="008B3776" w:rsidRPr="003E457E" w:rsidRDefault="003E457E" w:rsidP="003E457E">
      <w:pPr>
        <w:widowControl w:val="0"/>
        <w:tabs>
          <w:tab w:val="left" w:pos="851"/>
          <w:tab w:val="left" w:pos="993"/>
        </w:tabs>
        <w:autoSpaceDE w:val="0"/>
        <w:autoSpaceDN w:val="0"/>
        <w:adjustRightInd w:val="0"/>
        <w:spacing w:line="276" w:lineRule="auto"/>
        <w:ind w:firstLine="567"/>
        <w:jc w:val="both"/>
        <w:rPr>
          <w:b/>
        </w:rPr>
      </w:pPr>
      <w:r w:rsidRPr="003E457E">
        <w:rPr>
          <w:b/>
        </w:rPr>
        <w:t xml:space="preserve">ТЕМА 2: </w:t>
      </w:r>
      <w:r w:rsidR="008B3776" w:rsidRPr="003E457E">
        <w:rPr>
          <w:b/>
        </w:rPr>
        <w:t>ЗАКОНОДАТЕЛЬСТВО РОССИЙСКОЙ ФЕДЕРАЦИИ О КОНТРАКТНОЙ СИСТЕМЕ В СФЕРЕ ЗАКУПОК</w:t>
      </w:r>
    </w:p>
    <w:p w14:paraId="01538B68" w14:textId="77777777" w:rsidR="008B3776" w:rsidRPr="003E457E" w:rsidRDefault="008B3776" w:rsidP="003E457E">
      <w:pPr>
        <w:widowControl w:val="0"/>
        <w:tabs>
          <w:tab w:val="left" w:pos="851"/>
          <w:tab w:val="left" w:pos="993"/>
        </w:tabs>
        <w:autoSpaceDE w:val="0"/>
        <w:autoSpaceDN w:val="0"/>
        <w:adjustRightInd w:val="0"/>
        <w:spacing w:line="276" w:lineRule="auto"/>
        <w:ind w:firstLine="567"/>
        <w:jc w:val="both"/>
      </w:pPr>
      <w:r w:rsidRPr="003E457E">
        <w:t>Законодательство Российской Ф</w:t>
      </w:r>
      <w:r w:rsidR="00467F49" w:rsidRPr="003E457E">
        <w:t>едерации о контрактной системе. С</w:t>
      </w:r>
      <w:r w:rsidRPr="003E457E">
        <w:t>труктура.</w:t>
      </w:r>
      <w:r w:rsidR="00467F49" w:rsidRPr="003E457E">
        <w:t xml:space="preserve"> </w:t>
      </w:r>
      <w:r w:rsidRPr="003E457E">
        <w:t>Подзаконные акты Федеральных органов власти</w:t>
      </w:r>
      <w:r w:rsidR="00467F49" w:rsidRPr="003E457E">
        <w:t xml:space="preserve">. </w:t>
      </w:r>
      <w:r w:rsidRPr="003E457E">
        <w:t>Отличие ФЗ-44 и ФЗ-223; исчисление сроков по ГК РФ и ФЗ-44.</w:t>
      </w:r>
    </w:p>
    <w:p w14:paraId="4B99D9E7" w14:textId="77777777" w:rsidR="008B3776" w:rsidRPr="003E457E" w:rsidRDefault="003E457E" w:rsidP="003E457E">
      <w:pPr>
        <w:widowControl w:val="0"/>
        <w:tabs>
          <w:tab w:val="left" w:pos="851"/>
          <w:tab w:val="left" w:pos="993"/>
        </w:tabs>
        <w:autoSpaceDE w:val="0"/>
        <w:autoSpaceDN w:val="0"/>
        <w:adjustRightInd w:val="0"/>
        <w:spacing w:line="276" w:lineRule="auto"/>
        <w:ind w:firstLine="567"/>
        <w:jc w:val="both"/>
        <w:rPr>
          <w:b/>
        </w:rPr>
      </w:pPr>
      <w:r w:rsidRPr="003E457E">
        <w:rPr>
          <w:b/>
        </w:rPr>
        <w:t>ТЕМА 3: ПЛАНИРОВАНИЕ И ОБОСНОВАНИЕ ЗАКУПОК</w:t>
      </w:r>
    </w:p>
    <w:p w14:paraId="68496242" w14:textId="77777777" w:rsidR="008B3776" w:rsidRPr="003E457E" w:rsidRDefault="008B3776" w:rsidP="003E457E">
      <w:pPr>
        <w:widowControl w:val="0"/>
        <w:tabs>
          <w:tab w:val="left" w:pos="851"/>
          <w:tab w:val="left" w:pos="993"/>
        </w:tabs>
        <w:autoSpaceDE w:val="0"/>
        <w:autoSpaceDN w:val="0"/>
        <w:adjustRightInd w:val="0"/>
        <w:spacing w:line="276" w:lineRule="auto"/>
        <w:ind w:firstLine="567"/>
        <w:jc w:val="both"/>
      </w:pPr>
      <w:r w:rsidRPr="003E457E">
        <w:t>Планирование и обоснование закупок</w:t>
      </w:r>
      <w:r w:rsidR="00467F49" w:rsidRPr="003E457E">
        <w:t xml:space="preserve">. </w:t>
      </w:r>
      <w:r w:rsidRPr="003E457E">
        <w:t>Планы закупок. Планы-графики закупок. Формирование планов-графиков закупок в 2016 г.</w:t>
      </w:r>
      <w:r w:rsidR="00467F49" w:rsidRPr="003E457E">
        <w:t xml:space="preserve"> </w:t>
      </w:r>
      <w:r w:rsidRPr="003E457E">
        <w:t>Нормирование закупок, методы определение Н(М)НЦ</w:t>
      </w:r>
      <w:r w:rsidR="00467F49" w:rsidRPr="003E457E">
        <w:t xml:space="preserve">. </w:t>
      </w:r>
      <w:r w:rsidRPr="003E457E">
        <w:t>Структура плана закупок и плана-графика закупок. Порядок заполнения граф и строк</w:t>
      </w:r>
      <w:r w:rsidR="00467F49" w:rsidRPr="003E457E">
        <w:t xml:space="preserve">. </w:t>
      </w:r>
      <w:r w:rsidRPr="003E457E">
        <w:t>Порядок заполнения таблиц обоснования закупок</w:t>
      </w:r>
      <w:r w:rsidR="00467F49" w:rsidRPr="003E457E">
        <w:t xml:space="preserve">. </w:t>
      </w:r>
      <w:r w:rsidRPr="003E457E">
        <w:t>Порядок заполнения формы плана-графика в 2016 г.</w:t>
      </w:r>
      <w:r w:rsidR="00467F49" w:rsidRPr="003E457E">
        <w:t xml:space="preserve"> </w:t>
      </w:r>
      <w:r w:rsidRPr="003E457E">
        <w:t>Методика определения начальной (максимальной) цены контракта методом анализа рынка</w:t>
      </w:r>
      <w:r w:rsidR="00467F49" w:rsidRPr="003E457E">
        <w:t>.</w:t>
      </w:r>
    </w:p>
    <w:p w14:paraId="20363441" w14:textId="77777777" w:rsidR="00467F49" w:rsidRPr="003E457E" w:rsidRDefault="003E457E" w:rsidP="003E457E">
      <w:pPr>
        <w:widowControl w:val="0"/>
        <w:tabs>
          <w:tab w:val="left" w:pos="851"/>
          <w:tab w:val="left" w:pos="993"/>
        </w:tabs>
        <w:autoSpaceDE w:val="0"/>
        <w:autoSpaceDN w:val="0"/>
        <w:adjustRightInd w:val="0"/>
        <w:spacing w:line="276" w:lineRule="auto"/>
        <w:ind w:firstLine="567"/>
        <w:jc w:val="both"/>
        <w:rPr>
          <w:b/>
        </w:rPr>
      </w:pPr>
      <w:r w:rsidRPr="003E457E">
        <w:rPr>
          <w:b/>
        </w:rPr>
        <w:t>ТЕМА 4: ОСУЩЕСТВЛЕНИЕ ЗАКУПОК</w:t>
      </w:r>
    </w:p>
    <w:p w14:paraId="5A7F5A68" w14:textId="77777777" w:rsidR="00467F49" w:rsidRPr="003E457E" w:rsidRDefault="00467F49" w:rsidP="003E457E">
      <w:pPr>
        <w:widowControl w:val="0"/>
        <w:tabs>
          <w:tab w:val="left" w:pos="851"/>
          <w:tab w:val="left" w:pos="993"/>
        </w:tabs>
        <w:autoSpaceDE w:val="0"/>
        <w:autoSpaceDN w:val="0"/>
        <w:adjustRightInd w:val="0"/>
        <w:spacing w:line="276" w:lineRule="auto"/>
        <w:ind w:firstLine="567"/>
        <w:jc w:val="both"/>
      </w:pPr>
      <w:r w:rsidRPr="003E457E">
        <w:t>Условия закупок. Открытый конкурс. Конкурс с ограниченным участием. Двухэтапный конкурс. Аукцион в электронной форме. Запрос котировок. Запрос предложений. Закупки у единственного поставщика. Открытый конкурс. Алгоритм действий закупщика. Порядок подготовки и сроки размещения извещения. Порядок внесения изменений в извещение и документацию и расчет новых сроков окончания подачи заявок. Структура извещения и конкурсной документации. Открытый конкурс. Вскрытие конвертов, порядок. Разбор конкретных ситуаций. Особенности работы комиссии на начальном этапе. Как определить окончание срока подачи заявок и начало вскрытия конвертов. Аудиозапись. Разбор ошибок. Рассмотрение заявок. Структура заявки участника закупки. Пошаговое рассмотрение элементов заявки. Разбор конкретных ситуаций, связанных с допуском заявки. Причины отстранения заявок. Рассмотрение основных ошибок участников конкурса. Открытый конкурс. Оценка заявок. Рассмотрение критериев оценки, значимости критериев. Постановление Правительства РФ о порядке оценки.</w:t>
      </w:r>
    </w:p>
    <w:p w14:paraId="62BC3BD8" w14:textId="77777777" w:rsidR="00467F49" w:rsidRPr="003E457E" w:rsidRDefault="00467F49" w:rsidP="003E457E">
      <w:pPr>
        <w:widowControl w:val="0"/>
        <w:tabs>
          <w:tab w:val="left" w:pos="851"/>
          <w:tab w:val="left" w:pos="993"/>
        </w:tabs>
        <w:autoSpaceDE w:val="0"/>
        <w:autoSpaceDN w:val="0"/>
        <w:adjustRightInd w:val="0"/>
        <w:spacing w:line="276" w:lineRule="auto"/>
        <w:ind w:firstLine="567"/>
        <w:jc w:val="both"/>
      </w:pPr>
      <w:r w:rsidRPr="003E457E">
        <w:t>Рассмотрение порядка оценки заявок на конкретном примере. Разбор возможных ситуаций в случае изменения значимости критериев.</w:t>
      </w:r>
    </w:p>
    <w:p w14:paraId="6A50B52B" w14:textId="77777777" w:rsidR="00467F49" w:rsidRPr="003E457E" w:rsidRDefault="00467F49" w:rsidP="003E457E">
      <w:pPr>
        <w:widowControl w:val="0"/>
        <w:tabs>
          <w:tab w:val="left" w:pos="851"/>
          <w:tab w:val="left" w:pos="993"/>
        </w:tabs>
        <w:autoSpaceDE w:val="0"/>
        <w:autoSpaceDN w:val="0"/>
        <w:adjustRightInd w:val="0"/>
        <w:spacing w:line="276" w:lineRule="auto"/>
        <w:ind w:firstLine="567"/>
        <w:jc w:val="both"/>
      </w:pPr>
      <w:r w:rsidRPr="003E457E">
        <w:t>Изучение постановлений Правительства РФ о преимуществах предприятиям и учреждениям уголовно-исполнительной системы, и организациям инвалидов. Закупки у субъектов малого предпринимательства и социально-ориентированных некоммерческих организаций. Формула расчёта объема закупок у СМП и СОНО.</w:t>
      </w:r>
    </w:p>
    <w:p w14:paraId="35431B72" w14:textId="77777777" w:rsidR="00467F49" w:rsidRPr="003E457E" w:rsidRDefault="00467F49" w:rsidP="003E457E">
      <w:pPr>
        <w:widowControl w:val="0"/>
        <w:tabs>
          <w:tab w:val="left" w:pos="851"/>
          <w:tab w:val="left" w:pos="993"/>
        </w:tabs>
        <w:autoSpaceDE w:val="0"/>
        <w:autoSpaceDN w:val="0"/>
        <w:adjustRightInd w:val="0"/>
        <w:spacing w:line="276" w:lineRule="auto"/>
        <w:ind w:firstLine="567"/>
        <w:jc w:val="both"/>
      </w:pPr>
      <w:r w:rsidRPr="003E457E">
        <w:t>Особенности конкурса с ограниченным участием и двухэтапного конкурса.  Анализ постановления Правительства РФ о дополнительных требованиях к участникам закупок. Национальный режим. Изучение нормативных актов Правительства РФ и Минэкономразвития РФ.</w:t>
      </w:r>
    </w:p>
    <w:p w14:paraId="6A80C2AC" w14:textId="77777777" w:rsidR="008B3776" w:rsidRPr="003E457E" w:rsidRDefault="00467F49" w:rsidP="003E457E">
      <w:pPr>
        <w:widowControl w:val="0"/>
        <w:tabs>
          <w:tab w:val="left" w:pos="851"/>
          <w:tab w:val="left" w:pos="993"/>
        </w:tabs>
        <w:autoSpaceDE w:val="0"/>
        <w:autoSpaceDN w:val="0"/>
        <w:adjustRightInd w:val="0"/>
        <w:spacing w:line="276" w:lineRule="auto"/>
        <w:ind w:firstLine="567"/>
        <w:jc w:val="both"/>
      </w:pPr>
      <w:r w:rsidRPr="003E457E">
        <w:t xml:space="preserve">Аукцион в электронной форме. Алгоритм действий заказчика. Подготовка документов закупок. Порядок и сроки размещения извещения о закупке, внесение </w:t>
      </w:r>
      <w:r w:rsidRPr="003E457E">
        <w:lastRenderedPageBreak/>
        <w:t>изменений. Отмена процедуры. Электронные площадки. Практические вопросы рассмотрения первых частей заявок. Практические вопросы рассмотрения вторых частей заявок. Несостоявшаяся процедура аукциона. Порядок действий заказчика. Уклонение победителя от заключения контракта. Порядок заключения контракта по итогам электронного аукциона. Разногласия по контракту. Алгоритм действий заказчика при проведении запроса котировок и запроса предложений. Подготовка документов заказчика, порядок рассмотрения заявок участников. Порядок оценки заявок. Заключение контрактов. Закрытые способы. Возможные случаи проведения закупки у единственного поставщика (подрядчика, исполнителя). Разбор конкретных ситуаций при закупках до 100 000 руб., до 400 000 руб. Другие случаи таких закупок.</w:t>
      </w:r>
    </w:p>
    <w:p w14:paraId="0BD584BF" w14:textId="77777777" w:rsidR="006E6FD4" w:rsidRPr="003E457E" w:rsidRDefault="003E457E" w:rsidP="003E457E">
      <w:pPr>
        <w:widowControl w:val="0"/>
        <w:tabs>
          <w:tab w:val="left" w:pos="851"/>
          <w:tab w:val="left" w:pos="993"/>
        </w:tabs>
        <w:autoSpaceDE w:val="0"/>
        <w:autoSpaceDN w:val="0"/>
        <w:adjustRightInd w:val="0"/>
        <w:spacing w:line="276" w:lineRule="auto"/>
        <w:ind w:firstLine="567"/>
        <w:jc w:val="both"/>
        <w:rPr>
          <w:b/>
        </w:rPr>
      </w:pPr>
      <w:r w:rsidRPr="003E457E">
        <w:rPr>
          <w:b/>
        </w:rPr>
        <w:t>ТЕМА 5: КОНТРАКТЫ</w:t>
      </w:r>
    </w:p>
    <w:p w14:paraId="19523B07" w14:textId="77777777" w:rsidR="008B3776" w:rsidRPr="003E457E" w:rsidRDefault="006E6FD4" w:rsidP="003E457E">
      <w:pPr>
        <w:widowControl w:val="0"/>
        <w:tabs>
          <w:tab w:val="left" w:pos="851"/>
          <w:tab w:val="left" w:pos="993"/>
        </w:tabs>
        <w:autoSpaceDE w:val="0"/>
        <w:autoSpaceDN w:val="0"/>
        <w:adjustRightInd w:val="0"/>
        <w:spacing w:line="276" w:lineRule="auto"/>
        <w:ind w:firstLine="567"/>
        <w:jc w:val="both"/>
      </w:pPr>
      <w:r w:rsidRPr="003E457E">
        <w:t>Условия заключения контракта. Изменение, исполнение, расторжение контракта. Условия заключения контракта.  Расчет пеней и штрафов. Как отразить в контракте. Изменение условий контракта. Дополнительное соглашение, особенности составления. Расторжение контракта. Порядок расторжения при одностороннем отказе от исполнения контракта. Размещение информации в реестре контрактов. Подготовка отчета об исполнении контракта. Особенности.</w:t>
      </w:r>
    </w:p>
    <w:p w14:paraId="4F0FA2EE" w14:textId="77777777" w:rsidR="006E6FD4" w:rsidRPr="003E457E" w:rsidRDefault="003E457E" w:rsidP="003E457E">
      <w:pPr>
        <w:widowControl w:val="0"/>
        <w:tabs>
          <w:tab w:val="left" w:pos="851"/>
          <w:tab w:val="left" w:pos="993"/>
        </w:tabs>
        <w:autoSpaceDE w:val="0"/>
        <w:autoSpaceDN w:val="0"/>
        <w:adjustRightInd w:val="0"/>
        <w:spacing w:line="276" w:lineRule="auto"/>
        <w:ind w:firstLine="567"/>
        <w:jc w:val="both"/>
        <w:rPr>
          <w:b/>
        </w:rPr>
      </w:pPr>
      <w:r w:rsidRPr="003E457E">
        <w:rPr>
          <w:b/>
        </w:rPr>
        <w:t>ТЕМА 6: МОНИТОРИНГ, КОНТРОЛЬ, АУДИТ И ЗАЩИТА ПРАВ И ИНТЕРЕСОВ УЧАСТНИКОВ ЗАКУПОК</w:t>
      </w:r>
    </w:p>
    <w:p w14:paraId="25EA57B5" w14:textId="1CDF3E0C" w:rsidR="008B3776" w:rsidRPr="003E457E" w:rsidRDefault="006E6FD4" w:rsidP="003E457E">
      <w:pPr>
        <w:widowControl w:val="0"/>
        <w:tabs>
          <w:tab w:val="left" w:pos="851"/>
          <w:tab w:val="left" w:pos="993"/>
        </w:tabs>
        <w:autoSpaceDE w:val="0"/>
        <w:autoSpaceDN w:val="0"/>
        <w:adjustRightInd w:val="0"/>
        <w:spacing w:line="276" w:lineRule="auto"/>
        <w:ind w:firstLine="567"/>
        <w:jc w:val="both"/>
      </w:pPr>
      <w:r w:rsidRPr="003E457E">
        <w:t xml:space="preserve">Виды контроля. Понятие мониторинга в сфере закупок. Аудит в сфере закупок. Контроль органов власти. Какие необходимы документы. Контроль заказчика. Разбор </w:t>
      </w:r>
      <w:r w:rsidR="00D52418">
        <w:t xml:space="preserve">        </w:t>
      </w:r>
      <w:r w:rsidRPr="003E457E">
        <w:t>ст. 101 ФЗ-44. Кодекс об административных правонарушениях.</w:t>
      </w:r>
    </w:p>
    <w:p w14:paraId="7544D04B"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6BF7B4DF"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18E2B0F2"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4BAAF6F9"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78D19E19"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1CAB17A6"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6AB70ACD"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0B264FF7"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57D66303"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56A15157"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05BA5BFD"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5967A32B"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77EB938A"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23881D0E"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37CF68BF"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2AF225E1"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26A3EEF3"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7A129B51"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36DD77B9"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6946D370"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5D2A6AB8"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3F4CF86C" w14:textId="77777777" w:rsidR="003E457E" w:rsidRDefault="003E457E" w:rsidP="003E457E">
      <w:pPr>
        <w:widowControl w:val="0"/>
        <w:tabs>
          <w:tab w:val="left" w:pos="851"/>
          <w:tab w:val="left" w:pos="993"/>
        </w:tabs>
        <w:autoSpaceDE w:val="0"/>
        <w:autoSpaceDN w:val="0"/>
        <w:adjustRightInd w:val="0"/>
        <w:spacing w:line="276" w:lineRule="auto"/>
        <w:ind w:firstLine="567"/>
        <w:jc w:val="center"/>
        <w:rPr>
          <w:b/>
        </w:rPr>
      </w:pPr>
    </w:p>
    <w:p w14:paraId="5FE2D1D4" w14:textId="407BA6D3" w:rsidR="003E457E" w:rsidRPr="003E457E" w:rsidRDefault="003E457E" w:rsidP="0093008C">
      <w:pPr>
        <w:tabs>
          <w:tab w:val="left" w:pos="851"/>
          <w:tab w:val="left" w:pos="993"/>
        </w:tabs>
        <w:spacing w:line="276" w:lineRule="auto"/>
        <w:rPr>
          <w:b/>
        </w:rPr>
      </w:pPr>
    </w:p>
    <w:sectPr w:rsidR="003E457E" w:rsidRPr="003E457E" w:rsidSect="003A6B7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E8769" w14:textId="77777777" w:rsidR="00BA70FB" w:rsidRDefault="00BA70FB" w:rsidP="003A6B74">
      <w:r>
        <w:separator/>
      </w:r>
    </w:p>
  </w:endnote>
  <w:endnote w:type="continuationSeparator" w:id="0">
    <w:p w14:paraId="27414542" w14:textId="77777777" w:rsidR="00BA70FB" w:rsidRDefault="00BA70FB" w:rsidP="003A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64926"/>
      <w:docPartObj>
        <w:docPartGallery w:val="Page Numbers (Bottom of Page)"/>
        <w:docPartUnique/>
      </w:docPartObj>
    </w:sdtPr>
    <w:sdtContent>
      <w:p w14:paraId="7984ACF7" w14:textId="77777777" w:rsidR="0089198A" w:rsidRDefault="0089198A">
        <w:pPr>
          <w:pStyle w:val="a7"/>
          <w:jc w:val="center"/>
        </w:pPr>
        <w:r>
          <w:fldChar w:fldCharType="begin"/>
        </w:r>
        <w:r>
          <w:instrText>PAGE   \* MERGEFORMAT</w:instrText>
        </w:r>
        <w:r>
          <w:fldChar w:fldCharType="separate"/>
        </w:r>
        <w:r>
          <w:rPr>
            <w:noProof/>
          </w:rPr>
          <w:t>20</w:t>
        </w:r>
        <w:r>
          <w:fldChar w:fldCharType="end"/>
        </w:r>
      </w:p>
    </w:sdtContent>
  </w:sdt>
  <w:p w14:paraId="71EC6628" w14:textId="77777777" w:rsidR="0089198A" w:rsidRDefault="008919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75603" w14:textId="77777777" w:rsidR="00BA70FB" w:rsidRDefault="00BA70FB" w:rsidP="003A6B74">
      <w:r>
        <w:separator/>
      </w:r>
    </w:p>
  </w:footnote>
  <w:footnote w:type="continuationSeparator" w:id="0">
    <w:p w14:paraId="1F35D813" w14:textId="77777777" w:rsidR="00BA70FB" w:rsidRDefault="00BA70FB" w:rsidP="003A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D2E"/>
    <w:multiLevelType w:val="hybridMultilevel"/>
    <w:tmpl w:val="CD107D90"/>
    <w:lvl w:ilvl="0" w:tplc="3BB031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B9E6D1D"/>
    <w:multiLevelType w:val="hybridMultilevel"/>
    <w:tmpl w:val="0B088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E169F2"/>
    <w:multiLevelType w:val="hybridMultilevel"/>
    <w:tmpl w:val="50928AC4"/>
    <w:lvl w:ilvl="0" w:tplc="F4A89A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B42F9"/>
    <w:multiLevelType w:val="hybridMultilevel"/>
    <w:tmpl w:val="201E9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132F6"/>
    <w:multiLevelType w:val="hybridMultilevel"/>
    <w:tmpl w:val="A12807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DE3B86"/>
    <w:multiLevelType w:val="hybridMultilevel"/>
    <w:tmpl w:val="D854A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C40B7C"/>
    <w:multiLevelType w:val="hybridMultilevel"/>
    <w:tmpl w:val="6ABE9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4D025B"/>
    <w:multiLevelType w:val="hybridMultilevel"/>
    <w:tmpl w:val="7BFE3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3252E3"/>
    <w:multiLevelType w:val="hybridMultilevel"/>
    <w:tmpl w:val="0C6CCFF0"/>
    <w:lvl w:ilvl="0" w:tplc="F4A89A22">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04E565F"/>
    <w:multiLevelType w:val="hybridMultilevel"/>
    <w:tmpl w:val="75E408B2"/>
    <w:lvl w:ilvl="0" w:tplc="F4A89A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F73F83"/>
    <w:multiLevelType w:val="hybridMultilevel"/>
    <w:tmpl w:val="96CA63F8"/>
    <w:lvl w:ilvl="0" w:tplc="F4A89A22">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9B13DA3"/>
    <w:multiLevelType w:val="hybridMultilevel"/>
    <w:tmpl w:val="CC1E10A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15:restartNumberingAfterBreak="0">
    <w:nsid w:val="4A6974E5"/>
    <w:multiLevelType w:val="hybridMultilevel"/>
    <w:tmpl w:val="6C8EE13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C115A66"/>
    <w:multiLevelType w:val="hybridMultilevel"/>
    <w:tmpl w:val="8EF4BF7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E42101A"/>
    <w:multiLevelType w:val="hybridMultilevel"/>
    <w:tmpl w:val="1CE4E22A"/>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2C503F0"/>
    <w:multiLevelType w:val="hybridMultilevel"/>
    <w:tmpl w:val="597087EC"/>
    <w:lvl w:ilvl="0" w:tplc="F4A89A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046E2D"/>
    <w:multiLevelType w:val="hybridMultilevel"/>
    <w:tmpl w:val="006EF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733E26"/>
    <w:multiLevelType w:val="hybridMultilevel"/>
    <w:tmpl w:val="34C8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812998"/>
    <w:multiLevelType w:val="hybridMultilevel"/>
    <w:tmpl w:val="04AEE520"/>
    <w:lvl w:ilvl="0" w:tplc="1660E342">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BDB0F30"/>
    <w:multiLevelType w:val="hybridMultilevel"/>
    <w:tmpl w:val="A12EE34C"/>
    <w:lvl w:ilvl="0" w:tplc="F4A89A2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C4A7B43"/>
    <w:multiLevelType w:val="hybridMultilevel"/>
    <w:tmpl w:val="069A8B9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1" w15:restartNumberingAfterBreak="0">
    <w:nsid w:val="7D2B2BF0"/>
    <w:multiLevelType w:val="hybridMultilevel"/>
    <w:tmpl w:val="3BB036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E1955E6"/>
    <w:multiLevelType w:val="hybridMultilevel"/>
    <w:tmpl w:val="2EF25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4859431">
    <w:abstractNumId w:val="7"/>
  </w:num>
  <w:num w:numId="2" w16cid:durableId="970357336">
    <w:abstractNumId w:val="0"/>
  </w:num>
  <w:num w:numId="3" w16cid:durableId="521550545">
    <w:abstractNumId w:val="21"/>
  </w:num>
  <w:num w:numId="4" w16cid:durableId="1286354181">
    <w:abstractNumId w:val="1"/>
  </w:num>
  <w:num w:numId="5" w16cid:durableId="494805042">
    <w:abstractNumId w:val="5"/>
  </w:num>
  <w:num w:numId="6" w16cid:durableId="604190011">
    <w:abstractNumId w:val="8"/>
  </w:num>
  <w:num w:numId="7" w16cid:durableId="17829170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9317580">
    <w:abstractNumId w:val="14"/>
  </w:num>
  <w:num w:numId="9" w16cid:durableId="1487671005">
    <w:abstractNumId w:val="22"/>
  </w:num>
  <w:num w:numId="10" w16cid:durableId="2085762136">
    <w:abstractNumId w:val="16"/>
  </w:num>
  <w:num w:numId="11" w16cid:durableId="1375420270">
    <w:abstractNumId w:val="3"/>
  </w:num>
  <w:num w:numId="12" w16cid:durableId="931477892">
    <w:abstractNumId w:val="18"/>
  </w:num>
  <w:num w:numId="13" w16cid:durableId="1763377274">
    <w:abstractNumId w:val="12"/>
  </w:num>
  <w:num w:numId="14" w16cid:durableId="1209948356">
    <w:abstractNumId w:val="4"/>
  </w:num>
  <w:num w:numId="15" w16cid:durableId="1332681923">
    <w:abstractNumId w:val="13"/>
  </w:num>
  <w:num w:numId="16" w16cid:durableId="770201608">
    <w:abstractNumId w:val="6"/>
  </w:num>
  <w:num w:numId="17" w16cid:durableId="180971993">
    <w:abstractNumId w:val="11"/>
  </w:num>
  <w:num w:numId="18" w16cid:durableId="2048525039">
    <w:abstractNumId w:val="20"/>
  </w:num>
  <w:num w:numId="19" w16cid:durableId="363214524">
    <w:abstractNumId w:val="17"/>
  </w:num>
  <w:num w:numId="20" w16cid:durableId="1703289542">
    <w:abstractNumId w:val="9"/>
  </w:num>
  <w:num w:numId="21" w16cid:durableId="1899434821">
    <w:abstractNumId w:val="10"/>
  </w:num>
  <w:num w:numId="22" w16cid:durableId="515115586">
    <w:abstractNumId w:val="2"/>
  </w:num>
  <w:num w:numId="23" w16cid:durableId="11596166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DF"/>
    <w:rsid w:val="000616BD"/>
    <w:rsid w:val="001734AB"/>
    <w:rsid w:val="001909DF"/>
    <w:rsid w:val="001C281F"/>
    <w:rsid w:val="002015CE"/>
    <w:rsid w:val="00214AD9"/>
    <w:rsid w:val="0023409D"/>
    <w:rsid w:val="00281CB1"/>
    <w:rsid w:val="002D2F29"/>
    <w:rsid w:val="003A6B74"/>
    <w:rsid w:val="003E457E"/>
    <w:rsid w:val="00461414"/>
    <w:rsid w:val="00467151"/>
    <w:rsid w:val="00467F49"/>
    <w:rsid w:val="004C27B0"/>
    <w:rsid w:val="00547D7B"/>
    <w:rsid w:val="00583084"/>
    <w:rsid w:val="00681CCA"/>
    <w:rsid w:val="006B70AF"/>
    <w:rsid w:val="006E6FD4"/>
    <w:rsid w:val="007A6C23"/>
    <w:rsid w:val="007B2783"/>
    <w:rsid w:val="007C4541"/>
    <w:rsid w:val="00881754"/>
    <w:rsid w:val="0089198A"/>
    <w:rsid w:val="008B3776"/>
    <w:rsid w:val="008D0D9A"/>
    <w:rsid w:val="0093008C"/>
    <w:rsid w:val="00A87EE8"/>
    <w:rsid w:val="00AA24A5"/>
    <w:rsid w:val="00AC19A2"/>
    <w:rsid w:val="00B239BB"/>
    <w:rsid w:val="00B36E40"/>
    <w:rsid w:val="00BA70FB"/>
    <w:rsid w:val="00C263CB"/>
    <w:rsid w:val="00C36654"/>
    <w:rsid w:val="00C7685B"/>
    <w:rsid w:val="00D507FC"/>
    <w:rsid w:val="00D52418"/>
    <w:rsid w:val="00DB4414"/>
    <w:rsid w:val="00DD3871"/>
    <w:rsid w:val="00E605A9"/>
    <w:rsid w:val="00EC449B"/>
    <w:rsid w:val="00FF2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3CFB"/>
  <w15:chartTrackingRefBased/>
  <w15:docId w15:val="{3CDD9CF6-4AA4-4191-B364-3982F86A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8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3776"/>
    <w:pPr>
      <w:keepNext/>
      <w:autoSpaceDN w:val="0"/>
      <w:jc w:val="both"/>
      <w:outlineLvl w:val="0"/>
    </w:pPr>
    <w:rPr>
      <w:rFonts w:eastAsia="Calibri"/>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59"/>
    <w:rsid w:val="00DD3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List Paragraph"/>
    <w:basedOn w:val="a"/>
    <w:uiPriority w:val="34"/>
    <w:qFormat/>
    <w:rsid w:val="00DD3871"/>
    <w:pPr>
      <w:ind w:left="720"/>
      <w:contextualSpacing/>
    </w:pPr>
    <w:rPr>
      <w:rFonts w:eastAsiaTheme="minorHAnsi"/>
    </w:rPr>
  </w:style>
  <w:style w:type="paragraph" w:customStyle="1" w:styleId="Style15">
    <w:name w:val="Style15"/>
    <w:basedOn w:val="a"/>
    <w:uiPriority w:val="99"/>
    <w:rsid w:val="00DD3871"/>
    <w:pPr>
      <w:widowControl w:val="0"/>
      <w:autoSpaceDE w:val="0"/>
      <w:autoSpaceDN w:val="0"/>
      <w:adjustRightInd w:val="0"/>
      <w:spacing w:line="214" w:lineRule="exact"/>
    </w:pPr>
    <w:rPr>
      <w:rFonts w:ascii="Book Antiqua" w:hAnsi="Book Antiqua"/>
    </w:rPr>
  </w:style>
  <w:style w:type="character" w:customStyle="1" w:styleId="FontStyle23">
    <w:name w:val="Font Style23"/>
    <w:basedOn w:val="a0"/>
    <w:uiPriority w:val="99"/>
    <w:rsid w:val="00DD3871"/>
    <w:rPr>
      <w:rFonts w:ascii="Book Antiqua" w:hAnsi="Book Antiqua" w:cs="Book Antiqua"/>
      <w:sz w:val="18"/>
      <w:szCs w:val="18"/>
    </w:rPr>
  </w:style>
  <w:style w:type="table" w:customStyle="1" w:styleId="11">
    <w:name w:val="Сетка таблицы1"/>
    <w:basedOn w:val="a1"/>
    <w:next w:val="a3"/>
    <w:uiPriority w:val="59"/>
    <w:rsid w:val="00DD3871"/>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paragraph" w:styleId="a5">
    <w:name w:val="header"/>
    <w:basedOn w:val="a"/>
    <w:link w:val="a6"/>
    <w:uiPriority w:val="99"/>
    <w:unhideWhenUsed/>
    <w:rsid w:val="003A6B74"/>
    <w:pPr>
      <w:tabs>
        <w:tab w:val="center" w:pos="4677"/>
        <w:tab w:val="right" w:pos="9355"/>
      </w:tabs>
    </w:pPr>
  </w:style>
  <w:style w:type="character" w:customStyle="1" w:styleId="a6">
    <w:name w:val="Верхний колонтитул Знак"/>
    <w:basedOn w:val="a0"/>
    <w:link w:val="a5"/>
    <w:uiPriority w:val="99"/>
    <w:rsid w:val="003A6B7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A6B74"/>
    <w:pPr>
      <w:tabs>
        <w:tab w:val="center" w:pos="4677"/>
        <w:tab w:val="right" w:pos="9355"/>
      </w:tabs>
    </w:pPr>
  </w:style>
  <w:style w:type="character" w:customStyle="1" w:styleId="a8">
    <w:name w:val="Нижний колонтитул Знак"/>
    <w:basedOn w:val="a0"/>
    <w:link w:val="a7"/>
    <w:uiPriority w:val="99"/>
    <w:rsid w:val="003A6B7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B3776"/>
    <w:rPr>
      <w:rFonts w:ascii="Times New Roman" w:eastAsia="Calibri" w:hAnsi="Times New Roman" w:cs="Times New Roman"/>
      <w:b/>
      <w:sz w:val="28"/>
      <w:szCs w:val="24"/>
    </w:rPr>
  </w:style>
  <w:style w:type="paragraph" w:customStyle="1" w:styleId="ConsPlusNormal">
    <w:name w:val="ConsPlusNormal"/>
    <w:rsid w:val="008B3776"/>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281CB1"/>
    <w:rPr>
      <w:rFonts w:ascii="Segoe UI" w:hAnsi="Segoe UI" w:cs="Segoe UI"/>
      <w:sz w:val="18"/>
      <w:szCs w:val="18"/>
    </w:rPr>
  </w:style>
  <w:style w:type="character" w:customStyle="1" w:styleId="aa">
    <w:name w:val="Текст выноски Знак"/>
    <w:basedOn w:val="a0"/>
    <w:link w:val="a9"/>
    <w:uiPriority w:val="99"/>
    <w:semiHidden/>
    <w:rsid w:val="00281CB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D3C15-3E1B-40E3-86E9-DDA7BC6F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Пономарева Агавни Акоповна</dc:creator>
  <cp:keywords/>
  <dc:description/>
  <cp:lastModifiedBy>Валова Екатерина Геннадьевна</cp:lastModifiedBy>
  <cp:revision>4</cp:revision>
  <cp:lastPrinted>2019-09-20T08:25:00Z</cp:lastPrinted>
  <dcterms:created xsi:type="dcterms:W3CDTF">2025-04-08T06:27:00Z</dcterms:created>
  <dcterms:modified xsi:type="dcterms:W3CDTF">2025-04-09T08:03:00Z</dcterms:modified>
</cp:coreProperties>
</file>